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CD" w:rsidRPr="00A92525" w:rsidRDefault="00CE55CD" w:rsidP="00CE51B0">
      <w:pPr>
        <w:autoSpaceDE w:val="0"/>
        <w:autoSpaceDN w:val="0"/>
        <w:adjustRightInd w:val="0"/>
        <w:ind w:firstLine="5387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Załącznik do decyzji Nr 145/MON</w:t>
      </w:r>
    </w:p>
    <w:p w:rsidR="00CE55CD" w:rsidRPr="00A92525" w:rsidRDefault="00CE55CD" w:rsidP="00CE55CD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Ministra Obrony Narodowej</w:t>
      </w:r>
    </w:p>
    <w:p w:rsidR="00CE55CD" w:rsidRPr="00A92525" w:rsidRDefault="00CE55CD" w:rsidP="00CE55CD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z dnia 13 lipca 2017 r. (poz. 157)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ZASADY POSTĘPOWANIA W KONTAKTACH Z WYKONAWCAMI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</w:t>
      </w:r>
    </w:p>
    <w:p w:rsidR="00CE55CD" w:rsidRPr="00F13C9B" w:rsidRDefault="00CE55CD" w:rsidP="00F13C9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Postanowienia ogólne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</w:t>
      </w:r>
      <w:r w:rsid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wyłączeniem spółek dla których Minister Obrony Narodowej wykonuje uprawnienia majątkowe przysługujące Skarbowi Państwa z tytułu należących do Skarbu Państwa akcji lub udziałów w tych spółkach, zwanych dalej "jednostkami organizacyjnymi", oraz osób fizycznych świadczących pracę na podstawie umów cywilnoprawnych w Ministerstwie Obrony Narodowej lub w jednostkach organizacyjnych – w stosunku do osób prawnych, osób fizycznych oraz jednostek organizacyjnych niebędących osobami prawnymi, którym ustawa przyznaje zdolność prawną: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wykonujących na rzecz Skarbu Państwa lub państwowej osoby prawnej odpłatne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umowy, w szczególności na dostawy, świadczenie usług lub roboty budowlane;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które z racji zakresu prowadzonej działalności mogą starać się o zawarcie umów, których mowa w pkt 1;</w:t>
      </w:r>
    </w:p>
    <w:p w:rsidR="00CE55CD" w:rsidRPr="00B47055" w:rsidRDefault="00CE55CD" w:rsidP="00CE55CD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które działają w imieniu lub na rzecz podmiotów wskazanych w pkt 1 lub 2, zwanych dalej "wykonawcami".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2.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kontaktach z wykonawcami należy zachować świadomość, że mogą oni stosować działania mające na celu zapewnienie im przychylności, skutkujące naruszeniem zasady bezstronności, równego traktowania lub uczciwej konkurencji (reguła wzajemności).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3.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kontaktach z wykonawcami należy kierować się zasadami: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godności i honoru;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zdrowego rozsądku i umiaru;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ochrony dobrego imienia Ministerstwa Obrony Narodowej i Sił Zbrojnych Rzeczypospolitej Polskiej;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pierwszeństwa interesów Ministerstwa Obrony Narodowej i Sił Zbrojnych Rzeczypospolitej Polskiej;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unikania sytuacji, które mogłyby wywoływać powstanie długu materialnego lub honorowego albo poczucia wdzięczności;</w:t>
      </w:r>
    </w:p>
    <w:p w:rsidR="00CE55CD" w:rsidRPr="00B47055" w:rsidRDefault="00CE55CD" w:rsidP="00B47055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bezstronności oraz unikania zachowań faworyzujących konkretnego wykonawcę w stosunku do jego konkurencji.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2</w:t>
      </w:r>
    </w:p>
    <w:p w:rsidR="00CE55CD" w:rsidRPr="00F13C9B" w:rsidRDefault="00CE55CD" w:rsidP="00F13C9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Rozliczanie kosztów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4.</w:t>
      </w:r>
    </w:p>
    <w:p w:rsidR="00CE55CD" w:rsidRPr="00F13C9B" w:rsidRDefault="00CE55CD" w:rsidP="00022963">
      <w:pPr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Przy rozliczaniu kosztów poniesionych w związku z bezpośrednimi kontaktami z wykonawcami należy przyjąć zasadę "każdy płaci za siebie",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szczególności:</w:t>
      </w:r>
    </w:p>
    <w:p w:rsidR="00CE55CD" w:rsidRPr="00F13C9B" w:rsidRDefault="00CE55CD" w:rsidP="00022963">
      <w:pPr>
        <w:numPr>
          <w:ilvl w:val="0"/>
          <w:numId w:val="32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koszty podróży służbowych, w tym koszty dojazdów, wyżywienia i noclegów pokrywa się wyłącznie z budżetu, którego dysponentem jest Minister Obrony Narodowej;</w:t>
      </w:r>
    </w:p>
    <w:p w:rsidR="00CE55CD" w:rsidRPr="00F13C9B" w:rsidRDefault="00CE55CD" w:rsidP="00022963">
      <w:pPr>
        <w:numPr>
          <w:ilvl w:val="0"/>
          <w:numId w:val="32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restauracjach i innych miejscach wspólnego przebywania rachunki należy opłacać z własnych środków w ramach późniejszego rozliczenia służbowego, lub ze środków pochodzących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budżetu, którego dysponentem jest Minister Obrony Narodowej (karty płatnicze).</w:t>
      </w:r>
    </w:p>
    <w:p w:rsidR="00CE55CD" w:rsidRPr="00F13C9B" w:rsidRDefault="00CE55CD" w:rsidP="00022963">
      <w:pPr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Niedopuszczalne jest korzystanie z fundowanego przez wykonawców wyżywienia, transportu, ani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pokrywania przez nich innych kosztów i zobowiązań z wyjątkiem:</w:t>
      </w:r>
    </w:p>
    <w:p w:rsidR="00CE55CD" w:rsidRPr="00F13C9B" w:rsidRDefault="00CE55CD" w:rsidP="00022963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drobnych poczęstunków serwowanych w trakcie podróży służbowych;</w:t>
      </w:r>
    </w:p>
    <w:p w:rsidR="00CE51B0" w:rsidRPr="00B47055" w:rsidRDefault="00CE55CD" w:rsidP="00B47055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transportu związanego z wykonywaniem zadań w ramach podróży służbowych.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3</w:t>
      </w:r>
    </w:p>
    <w:p w:rsidR="00CE55CD" w:rsidRPr="00F13C9B" w:rsidRDefault="00CE55CD" w:rsidP="00022963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Przedsięwzięcia i spotkania z udziałem wykonawców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5.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są przedsięwzięcia związane z zawarciem lub realizacją umowy, organizowane wspólnie przez komórki lub jednostki organizacyjne oraz wykonawców.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Dopuszczalne jest udzielanie pomocy krajowym przedsiębiorstwom sektora obronnego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przedsięwzięciach promocyjnych skierowanych na rynki zagraniczne, w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t xml:space="preserve">tym w ramach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>międzynarodowych targów, pokazów, wystaw i konferencji o tematyce obronnej, w szczególności w postaci wystawiania referencji dla sprzętu będącego na wyposażeniu Sił Zbrojnych Rzeczypospolitej Polskiej oraz udostępniania informacji i materiałów będących w posiadaniu resortu obrony narodowej, a stanowiących informację publiczną lub informację przetworzoną w rozumieniu przepisów o dostępie do informacji publicznej.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Dopuszczalny jest udział w posiedzeniach i konferencjach organizowanych lub współorganizowanych przez organizacje międzynarodowe, których członkiem jest Rzeczpospolita Polska, a w szczególności przez Organizację Traktatu Północnoatlantyckiego lub Unię Europejską, odbywających się z udziałem wykonawców, a także w przedsięwzięciach realizowanych przez komórki lub jednostki organizacyjne, które wynikają z zaakceptowanego rocznego planu współpracy międzynarodowej resortu obrony narodowej.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Zaangażowanie w inne niż wymienione w ust. 1-3 przedsięwzięcia z udziałem wykonawców, w tym w szczególności konferencje, seminaria, sympozja – dopuszczalne jest wyłącznie po uzyskaniu od organizatora informacji zgodnej z wzorem zapytania, zawartym w załączniku Nr 1 do Zasad postępowania w kontaktach z wykonawcami oraz udzieleniu pisemnej zgody dyrektora (szefa, komendanta, kierownika, dowódcy, prezesa) komórki lub jednostki organizacyjnej na uczestnictwo w takim przedsięwzięciu. W przypadku chęci uczestnictwa dyrektora (szefa, komendanta, kierownika, dowódcy, prezesa) w przedsięwzięciu z udziałem wykonawców, pisemną zgodę wydaje jego bezpośredni przełożony.</w:t>
      </w:r>
    </w:p>
    <w:p w:rsidR="00CE55CD" w:rsidRPr="00B47055" w:rsidRDefault="00CE55CD" w:rsidP="00B47055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Obowiązki, o których mowa w ust. 4, nie dotyczą przypadku, gdy organizatorem, lub współorganizatorem przedsięwzięcia jest Ministerstwo Obrony Narodowej lub inne instytucje krajowej administracji rządowej.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6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CE55CD" w:rsidRPr="00F13C9B" w:rsidRDefault="00CE55CD" w:rsidP="00022963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Wszelkie spotkania z wykonawcami, jeżeli nie mają charakteru: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przedsięwzięć wymienionych w § 5 ust. 1-3, lub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konferencji, seminariów lub sympozjów wymienionych w § 5 ust. 4 i 5, lub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spotkań towarzyskich, odbywających się poza godzinami pracy, podczas których nie poruszano żadnych kwestii służbowych, lub 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spotkań o charakterze jedynie organizacyjno-porządkowym – powinny odbywać się przy udziale co najmniej dwóch osób będących przedstawicielami komórek lub jednostek organizacyjnych (zasada „wielu par oczu”), w przeciwnym wypadku całość spotkania powinna zostać utrwalona za pomocą urządzeń i środków technicznych służących do utrwalania dźwięku albo obrazu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dźwięku.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Utrwalenie przebiegu spotkania z wykonawcami za pomocą urządzeń i środków technicznych służących do utrwalania dźwięku albo obrazu i dźwięku, zwane dalej „zapisem”, następuje po uprzednim uzyskaniu zgody wykonawcy na taki sposób utrwalenia przebiegu spotkania.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kontynuowanie spotkania z wykonawcą, który nie wyraził zgody na utrwalenie jego przebiegu, przy jednoczesnym braku możliwości zapewnienia udziału dwóch osób w spotkaniu, o którym mowa w ust. 1.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Zapis następuje za pomocą urządzeń i środków technicznych wykorzystujących technikę cyfrową, zapewniającą: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integralność zapisu;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kopiowanie zapisu pomiędzy urządzeniami, środkami technicznymi i informatycznymi nośnikami danych;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zabezpieczenie zapisu, w szczególności przed utratą lub nieuzasadnioną zmianą;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odtworzenie zapisu także przy użyciu urządzeń i środków technicznych korygujących lub wzmacniających utrwalony dźwięk lub obraz;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udostępnienie zapisu na informatycznym nośniku danych;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możliwość bieżącej kontroli dokonywanego zapisu.</w:t>
      </w:r>
    </w:p>
    <w:p w:rsidR="00CE55CD" w:rsidRPr="00B47055" w:rsidRDefault="00CE55CD" w:rsidP="00B47055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Informatyczne nośniki danych na których dokonano zapisu podlegają zdeponowaniu w kancelarii komórki lub jednostki organizacyjnej, której pracownik lub żołnierz brał udział w spotkaniu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wykonawcą, gdzie następnie są archiwizowane przez okres 3 lat.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4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Sponsorowanie przedsięwzięć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7.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 zastrzeżeniem § 5 ust. 1-3, niedopuszczalne jest, aby przedsięwzięcia organizowane lub współorganizowane przez komórki lub jednostki organizacyjne były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finansowane, współfinansowane lub w inny sposób materialnie wspierane przez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wykonawców, chyba że jest to związane bezpośrednio z koniecznością pokrycia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kosztów wynikających z uczestnictwa wykonawcy w danym przedsięwzięciu.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B47055" w:rsidRDefault="00B47055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lastRenderedPageBreak/>
        <w:t>Rozdział 5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Prezenty, materiały promocyjne i informacyjne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8.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przyjmowanie od wykonawców prezentów w postaci jakichkolwiek korzyści majątkowych lub osobistych.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jest przyjmowanie materiałów promocyjnych o znikomej wartości handlowej.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i zalecane jest przyjmowanie materiałów informacyjnych.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 się eksponowanie w salach konferencyjnych oraz w innych miejscach powszechnie dostępnych na terenie komórek i jednostek organizacyjnych otrzymanych od wykonawców materiałów promujących Siły Zbrojne Rzeczypospolitej Polskiej.</w:t>
      </w:r>
    </w:p>
    <w:p w:rsidR="00CE55CD" w:rsidRPr="00B47055" w:rsidRDefault="00CE55CD" w:rsidP="00CE55CD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Niewskazane jest używanie na terenie komórek i jednostek organizacyjnych materiałów i oznaczeń promujących wykonawców, w tym także materiałów biurowych.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6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Kontakty towarzyskie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9.</w:t>
      </w:r>
    </w:p>
    <w:p w:rsidR="00CE55CD" w:rsidRPr="00B47055" w:rsidRDefault="00CE55CD" w:rsidP="00CE55CD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Kontakty towarzyskie z wykonawcami, nawiązane zanim powstały relacje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t xml:space="preserve">wynikające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  <w:t xml:space="preserve">z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wykonywanych obowiązków mogą być kontynuowane, przy zachowaniu zasad określonych w § 3 niniejszego załącznika.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przypadkach innych niż określone w ust. 1, nie zaleca się nawiązywania kontaktów towarzyskich z wykonawcami.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7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Najem i użyczanie lokali oraz terenów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10.</w:t>
      </w:r>
    </w:p>
    <w:p w:rsidR="00CE55CD" w:rsidRPr="00F13C9B" w:rsidRDefault="00CE55CD" w:rsidP="00836796">
      <w:pPr>
        <w:numPr>
          <w:ilvl w:val="0"/>
          <w:numId w:val="40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jest wynajmowanie lub użyczanie wykonawcom lokali i terenów resortu obrony narodowej w celu:</w:t>
      </w:r>
    </w:p>
    <w:p w:rsidR="00CE55CD" w:rsidRPr="00F13C9B" w:rsidRDefault="00CE55CD" w:rsidP="00836796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przeprowadzenia prezentacji lub pokazów na rzecz komórek lub jednostek organizacyjnych;</w:t>
      </w:r>
    </w:p>
    <w:p w:rsidR="00CE55CD" w:rsidRPr="00F13C9B" w:rsidRDefault="00CE55CD" w:rsidP="00836796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przeprowadzenia prezentacji lub pokazów organizowanych przez krajowe przedsiębiorstwa sektora obronnego dla odbiorców zagranicznych;</w:t>
      </w:r>
    </w:p>
    <w:p w:rsidR="00CE55CD" w:rsidRPr="00B47055" w:rsidRDefault="00CE55CD" w:rsidP="00CE55CD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realizowania zadań przez Agencję Mienia Wojskowego, wynikających z odrębnych przepisów.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8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Prezentacje, pokazy i referencje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11.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Działania informacyjne, z wyłączeniem oficjalnej korespondencji dokonywanej w formie pisemnej lub realizowanej przy pomocy faksu albo służbowej poczty elektronicznej, powinny być przeprowadzane przez wykonawców w formie oficjalnych prezentacji lub pokazów.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Wskazane jest, aby prezentacje lub pokazy odbywały się na terenie komórek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jednostek organizacyjnych lub podczas targów.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przypadku, gdyby koszty prezentacji lub pokazu były zbyt wysokie dla wykonawcy, bądź też gdyby prezentacja lub pokaz były ze względów technicznych lub organizacyjnych znacznym utrudnieniem, dopuszczalne jest ich przeprowadzenie u wykonawcy na rzecz oficjalnej delegacji komórek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lub jednostek organizacyjnych.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obciążanie Skarbu Państwa – Ministra Obrony Narodowej, lub państwowej osoby prawnej kosztami organizowanych prezentacji lub pokazów, z wyłączeniem opłat z tytułu zużytych mediów i wstawek konferencyjnych.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celu zbierania niezbędnych doświadczeń i informacji dyrektorzy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(szefowie, komendanci, kierownicy, dowódcy, prezesi) komórek i jednostek organizacyjnych mogą za pisemną zgodą bezpośredniego przełożonego organizować prezentacje i pokazy z udziałem wykonawców.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(szef, komendant, kierownik, dowódca, prezes) komórki lub jednostki organizacyjnej odpowiedzialnej za organizację przedsięwzięcia, o którym mowa w ust. dotyczącego sprzętu wojskowego, w terminie 14 dni od dnia jego zakończenia, przekazuje Dyrektorowi Departamentu Polityki Zbrojeniowej notatkę o tym wydarzeniu, zgodnie ze wzorem stanowiącym załącznik Nr 2 do Zasad postępowania w kontaktach z wykonawcami.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Wskazane jest zamieszczanie przez komórki i jednostki organizacyjne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odpowiednim wyprzedzeniem na własnych stronach internetowych informacji o zamiarze organizacji lub możliwości przeprowadzenia prezentacji lub pokazu, dotyczącego konkretnych grup asortymentowych sprzętu lub usług, w celu umożliwienia jak największej grupie wykonawców zgłoszenia swojego udziału w tego typu wydarzeniach.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12.</w:t>
      </w:r>
    </w:p>
    <w:p w:rsidR="00CE55CD" w:rsidRPr="00F13C9B" w:rsidRDefault="00CE55CD" w:rsidP="00C70D68">
      <w:pPr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Dopuszczalne jest udzielenie wykonawcy pozytywnych referencji (poświadczenia) w związku 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należytym wykonaniem przez niego umowy.</w:t>
      </w:r>
    </w:p>
    <w:p w:rsidR="00C70D68" w:rsidRPr="00B47055" w:rsidRDefault="00CE55CD" w:rsidP="00B47055">
      <w:pPr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Referencji, o których mowa w ust. 1, udziela w formie pisemnej zamawiający po uprzednim ustaleniu należytego wykonania umowy. Niedopuszczalne jest udzielanie referencji, o których mowa w ust. 1,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>wykonawcom, w stosunku do których zamawiający uprawniony jest do zgłoszenia roszczeń z tytułu niewykonania lub nienależytego wykonania umowy, której mają dotyczyć referencje.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9</w:t>
      </w:r>
    </w:p>
    <w:p w:rsidR="00CE55CD" w:rsidRPr="00F13C9B" w:rsidRDefault="00CE55CD" w:rsidP="00C70D68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Faworyzowanie i konflikt interesów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13.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faworyzowanie wykonawcy, polegające w szczególności na:</w:t>
      </w:r>
    </w:p>
    <w:p w:rsidR="00CE55CD" w:rsidRPr="00F13C9B" w:rsidRDefault="00CE55CD" w:rsidP="00C70D68">
      <w:pPr>
        <w:numPr>
          <w:ilvl w:val="0"/>
          <w:numId w:val="45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wcześniejszym udzielaniu mu informacji,</w:t>
      </w:r>
    </w:p>
    <w:p w:rsidR="00CE55CD" w:rsidRPr="00F13C9B" w:rsidRDefault="00CE55CD" w:rsidP="00C70D68">
      <w:pPr>
        <w:numPr>
          <w:ilvl w:val="0"/>
          <w:numId w:val="45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nieuzasadnionym ograniczeniu innym wykonawcom dostępu do informacji – które może stawiać go w uprzywilejowanej pozycji w stosunku do innych wykonawców.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Wskazane jest, aby pracownicy i żołnierze komórek i jednostek organizacyjnych oraz osoby fizyczne świadczące pracę na podstawie umów cywilnoprawnych w Ministerstwie Obrony Narodowej lub w jednostkach organizacyjnych, informowali odpowiednio bezpośrednich przełożonych lub zamawiających o relacjach prawnych lub faktycznych, w których ich interes prywatny (osobisty lub majątkowy), wynikający z powiązań z konkretnym wykonawcą, wpływa, bądź może wpływać na obiektywne i bezstronne wykonywanie powierzonych obowiązków (realny bądź potencjalny konflikt interesów) lub też może być on postrzegany przez opinię publiczną jako znajdujący się w konflikcie </w:t>
      </w:r>
      <w:r w:rsidR="00C24712" w:rsidRP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obiektywnym i bezstronnym wykonywaniem realizowanych przez nich obowiązków (postrzegalny konflikt interesów).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Przez konflikt interesów należy rozumieć, w szczególności posiadanie powiązań o charakterze finansowym, rodzinnym lub towarzyskim z wykonawcą.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Dyrektor (szef, komendant, kierownik, dowódca, prezes) komórki lub jednostki organizacyjnej dysponujący wiarygodną informacją o realnym, potencjalnym lub postrzegalnym konflikcie interesów podległego mu pracownika lub żołnierza komórki lub jednostki organizacyjnej, bądź osoby fizycznej świadczącej pracę na podstawie umów cywilnoprawnych w Ministerstwie Obrony Narodowej lub </w:t>
      </w:r>
      <w:r w:rsidR="00C24712" w:rsidRP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jednostkach organizacyjnych, rozstrzyga niezwłocznie o potrzebie podjęcia czynności zaradczych w celu wyeliminowania lub ograniczenia możliwości zaistnienia konfliktu interesów.</w:t>
      </w:r>
    </w:p>
    <w:p w:rsidR="00CE55CD" w:rsidRPr="00F13C9B" w:rsidRDefault="00CE55CD" w:rsidP="00E75667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Czynnością zaradczą, o której mowa w ust. 4, może być w szczególności: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wydanie dyspozycji o konieczności udziału minimum dwóch osób w realizacji określonych czynności (zasada „wielu par oczu”),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włączenie dodatkowych mechanizmów nadzorczych, w tym kontrolnych, lub sprawozdawczych w realizacji określonych czynności,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wyłączenie osoby pozostającej w konflikcie interesów z udziału w określonej czynności,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doprowadzenie do rozwiązania umowy cywilnoprawnej zawartej z osobą fizyczną, o której mowa w ust. 2.</w:t>
      </w:r>
    </w:p>
    <w:p w:rsidR="00CE55CD" w:rsidRPr="00F13C9B" w:rsidRDefault="00CE55CD" w:rsidP="00E75667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przypadku postrzegalnego lub potencjalnego konfliktu interesów dyrektor (szef, komendant, kierownik, dowódca, prezes) komórki lub jednostki organizacyjnej może nie podejmować żadnej czynności zaradczej, jeżeli w pisemnej notatce, zarejestrowanej w kancelarii potwierdzi, że konflikt ten jest w jego ocenie nieistotny z punktu widzenia prawidłowego działania danej komórki lub jednostki organizacyjnej, a samo ujawnienie go przez osobę, pozostającą w konflikcie interesów jest wystarczające do jego skutecznej kontroli.</w:t>
      </w:r>
    </w:p>
    <w:p w:rsidR="00CE55CD" w:rsidRPr="00B47055" w:rsidRDefault="00CE55CD" w:rsidP="00CE55CD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przypadku, gdy konflikt interesów dotyczy dyrektora (szefa, komendanta, kierownika, dowódcy, prezesa) komórki lub jednostki organizacyjnej, o potrzebie podjęcia czynności zaradczych w celu wyeliminowania lub ograniczenia możliwości jego zaistnienia, decyduje bezpośredni przełożony tej osoby. Przepisy ust. 2-6 stosuje się odpowiednio.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10</w:t>
      </w:r>
    </w:p>
    <w:p w:rsidR="00CE55CD" w:rsidRPr="00F13C9B" w:rsidRDefault="00CE55CD" w:rsidP="00E75667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Sprawozdawczość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14.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Z wszelkich kontaktów z wykonawcami, osoby biorące w nich udział, sporządzają notatkę zawierającą informacje odnośnie: stron, celu, inicjatora, formy kontaktu lub miejsca spotkania oraz faktu udokumentowania jego przebiegu za pomocą urządzeń i środków technicznych służących do utrwalania dźwięku albo obrazu i dźwięku, a w przypadku gdy przebieg spotkania nie został w ten sposób udokumentowany – również szczegółowych danych uzyskanych od wykonawcy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przekazanych wykonawcy. Istnieje możliwość sporządzenia wspólnej notatki przez osoby uczestniczące w kontaktach z wykonawcami.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Notatkę, o której mowa w ust. 1, sporządza się również w przypadku kontaktów z podmiotami zainteresowanymi nabyciem nieruchomości Skarbu Państwa lub mienia ruchomego o wartości księgowej przekraczającej 10.000 złotych.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Treść notatki zamieszcza się w terminie 14 dni od dnia przeprowadzenia kontaktu w wewnętrznej sieci elektronicznej w zakładce pod nazwą „kontakty z wykonawcami”.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Obowiązek, o którym mowa w ust. 1 i 3, nie dotyczy: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czynności zamawiającego, w związku z postępowaniem o udzielenie zamówienia od chwili zamieszczenia ogłoszenia o postępowaniu lub skierowania zaproszenia do udziału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w postępowaniu w trybie negocjacji, do chwili wyboru wykonawcy, o ile czynności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te podejmowane są w ramach prac komisji;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czynności zamawiającego podejmowanych od chwili wyboru wykonawcy do chwili podpisania umowy oraz czynności związanych z wykonywaniem zawartych umów, o ile czynności te podejmowane są przez uprzednio pisemnie wyznaczone osoby;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kontaktów mających charakter oficjalnej korespondencji dokonywanej w formie pisemnej lub realizowanej przy pomocy faksu albo służbowej poczty elektronicznej;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mających miejsce w związku z realizacją fazy analityczno-koncepcyjnej, o której mowa w przepisach decyzji w spawie pozyskiwania sprzętu wojskowego i usług dla Sił Zbrojnych Rzeczypospolitej Polskiej, o ile kontakty te zostaną opisane w dokumentacji, która powstanie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ramach tej fazy, pisemnej notatce lub protokole spotkania, bądź też ich przebieg zostanie utrwalony za pomocą urządzeń i środków technicznych służących do utrwalania dźwięku albo obrazu i dźwięku;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kontaktów dotyczących jedynie zagadnień o charakterze organizacyjnoporządkowym;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o charakterze wyłącznie towarzyskim, odbywających się poza godzinami pracy,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trakcie których nie poruszano żadnych kwestii służbowych;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prezentacji i pokazów organizowanych na podstawie § 11 ust. 5;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realizowanych w celu wykonywania obowiązków przewidzianych w ustawie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o niektórych umowach zawieranych w związku z realizacją zamówień o podstawowym znaczeniu dla bezpieczeństwa państwa, o ile kontakty te zostaną opisane w pisemnej notatce lub protokole spotkania, bądź też ich przebieg zostanie utrwalony za pomocą urządzeń i środków technicznych służących do utrwalania dźwięku albo obrazu i dźwięku;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realizowanych w celu wykonania obowiązków przewidzianych w przepisach decyzji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spawie zasad funkcjonowania systemu zapewnienia jakości wyrobów obronnych, o ile kontakty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te zostaną opisane w pisemnej notatce lub protokole spotkania, bądź też ich przebieg zostanie utrwalony za pomocą urządzeń i środków technicznych służących do utrwalania dźwięku albo obrazu i dźwięku.</w:t>
      </w:r>
    </w:p>
    <w:p w:rsidR="00CE55CD" w:rsidRPr="00B47055" w:rsidRDefault="00CE55CD" w:rsidP="00CE55CD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wewnętrznej sieci elektronicznej nie powinny być zamieszczane notatki sporządzane ze spotkań z wykonawcami, w przypadku gdyby podlegały one szczególnej ochronie przewidzianej w ustawie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o ochronie informacji niejawnych.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11</w:t>
      </w:r>
    </w:p>
    <w:p w:rsidR="00CE55CD" w:rsidRPr="00F13C9B" w:rsidRDefault="00CE55CD" w:rsidP="00CE51B0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Wykładnia postanowień decyzji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15.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Podmioty zainteresowane mogą zwrócić się z pisemnym wnioskiem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do Dyrektora Biura do Spraw Procedur Antykorupcyjnych o wydanie pisemnej opinii w sprawie interpretacji postanowień zawartych w decyzji, zwanej dalej "opinią".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Podmiot wnioskujący może zastrzec we wniosku, o którym mowa w ust. 1, anonimizację danych osobowych.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Opinia ma charakter wiążący dla wszystkich komórek i jednostek organizacyjnych.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Biura do Spraw Procedur Antykorupcyjnych zamieszcza opinię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wewnętrznej sieci elektronicznej (intranet), w zakładce "kontakty z wykonawcami".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Biura do Spraw Procedur Antykorupcyjnych może odmówić wydania opinii w sprawach, które były już przedmiotem rozstrzygnięcia lub, w których stan faktyczny ma charakter analogiczny do uprzednio opiniowanej sprawy.</w:t>
      </w:r>
    </w:p>
    <w:p w:rsidR="00CE55CD" w:rsidRPr="00F13C9B" w:rsidRDefault="00CE55CD" w:rsidP="00CE55CD">
      <w:pPr>
        <w:spacing w:after="20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CE55CD" w:rsidRPr="00A92525" w:rsidRDefault="00CE55CD" w:rsidP="00CE55CD">
      <w:pPr>
        <w:spacing w:after="200"/>
        <w:jc w:val="both"/>
        <w:rPr>
          <w:rFonts w:ascii="Arial" w:eastAsia="Calibri" w:hAnsi="Arial" w:cs="Arial"/>
          <w:lang w:eastAsia="en-US"/>
        </w:rPr>
      </w:pPr>
    </w:p>
    <w:p w:rsidR="00CE55CD" w:rsidRPr="00A92525" w:rsidRDefault="00CE55CD" w:rsidP="00CE55CD">
      <w:pPr>
        <w:spacing w:line="480" w:lineRule="auto"/>
        <w:jc w:val="both"/>
        <w:rPr>
          <w:rFonts w:ascii="Arial" w:hAnsi="Arial" w:cs="Arial"/>
        </w:rPr>
      </w:pPr>
    </w:p>
    <w:p w:rsidR="00CE55CD" w:rsidRPr="00A92525" w:rsidRDefault="00CE55CD" w:rsidP="00CE55CD">
      <w:pPr>
        <w:spacing w:line="480" w:lineRule="auto"/>
        <w:jc w:val="both"/>
        <w:rPr>
          <w:rFonts w:ascii="Arial" w:hAnsi="Arial" w:cs="Arial"/>
        </w:rPr>
      </w:pPr>
    </w:p>
    <w:p w:rsidR="00CE55CD" w:rsidRPr="00CE55CD" w:rsidRDefault="00CE55CD" w:rsidP="00CE55CD">
      <w:pPr>
        <w:tabs>
          <w:tab w:val="left" w:pos="3606"/>
        </w:tabs>
        <w:rPr>
          <w:rFonts w:ascii="Arial" w:hAnsi="Arial" w:cs="Arial"/>
          <w:sz w:val="20"/>
          <w:szCs w:val="20"/>
        </w:rPr>
      </w:pPr>
    </w:p>
    <w:sectPr w:rsidR="00CE55CD" w:rsidRPr="00CE55CD" w:rsidSect="00BB14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CEB" w:rsidRDefault="00752CEB" w:rsidP="00283893">
      <w:r>
        <w:separator/>
      </w:r>
    </w:p>
  </w:endnote>
  <w:endnote w:type="continuationSeparator" w:id="0">
    <w:p w:rsidR="00752CEB" w:rsidRDefault="00752CEB" w:rsidP="0028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15C" w:rsidRDefault="00D101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3827"/>
      <w:docPartObj>
        <w:docPartGallery w:val="Page Numbers (Bottom of Page)"/>
        <w:docPartUnique/>
      </w:docPartObj>
    </w:sdtPr>
    <w:sdtEndPr/>
    <w:sdtContent>
      <w:p w:rsidR="003A6297" w:rsidRDefault="003A62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15C">
          <w:rPr>
            <w:noProof/>
          </w:rPr>
          <w:t>1</w:t>
        </w:r>
        <w:r>
          <w:fldChar w:fldCharType="end"/>
        </w:r>
      </w:p>
    </w:sdtContent>
  </w:sdt>
  <w:p w:rsidR="00283893" w:rsidRDefault="00283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15C" w:rsidRDefault="00D101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CEB" w:rsidRDefault="00752CEB" w:rsidP="00283893">
      <w:r>
        <w:separator/>
      </w:r>
    </w:p>
  </w:footnote>
  <w:footnote w:type="continuationSeparator" w:id="0">
    <w:p w:rsidR="00752CEB" w:rsidRDefault="00752CEB" w:rsidP="00283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15C" w:rsidRDefault="00D101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15C" w:rsidRPr="006B09F5" w:rsidRDefault="00D1015C" w:rsidP="00D1015C">
    <w:pPr>
      <w:jc w:val="right"/>
      <w:rPr>
        <w:b/>
        <w:noProof/>
      </w:rPr>
    </w:pPr>
    <w:bookmarkStart w:id="0" w:name="_GoBack"/>
    <w:bookmarkEnd w:id="0"/>
    <w:r w:rsidRPr="006B09F5">
      <w:rPr>
        <w:rFonts w:ascii="Arial" w:hAnsi="Arial" w:cs="Arial"/>
        <w:b/>
      </w:rPr>
      <w:t>Załącznik nr 1 do zaproszenia</w:t>
    </w:r>
  </w:p>
  <w:p w:rsidR="00D1015C" w:rsidRPr="00D1015C" w:rsidRDefault="00D1015C" w:rsidP="00D101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15C" w:rsidRDefault="00D101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A76"/>
    <w:multiLevelType w:val="hybridMultilevel"/>
    <w:tmpl w:val="E3EC95EE"/>
    <w:lvl w:ilvl="0" w:tplc="E416CD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710209"/>
    <w:multiLevelType w:val="hybridMultilevel"/>
    <w:tmpl w:val="A90EF9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A331FD"/>
    <w:multiLevelType w:val="hybridMultilevel"/>
    <w:tmpl w:val="0C4617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F44DA5"/>
    <w:multiLevelType w:val="hybridMultilevel"/>
    <w:tmpl w:val="DA4ACC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B1DF7"/>
    <w:multiLevelType w:val="hybridMultilevel"/>
    <w:tmpl w:val="A6BC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DC187F"/>
    <w:multiLevelType w:val="hybridMultilevel"/>
    <w:tmpl w:val="F858D158"/>
    <w:lvl w:ilvl="0" w:tplc="BBC8A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" w15:restartNumberingAfterBreak="0">
    <w:nsid w:val="18553854"/>
    <w:multiLevelType w:val="hybridMultilevel"/>
    <w:tmpl w:val="A8148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F365A"/>
    <w:multiLevelType w:val="hybridMultilevel"/>
    <w:tmpl w:val="8FCE4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75F99"/>
    <w:multiLevelType w:val="hybridMultilevel"/>
    <w:tmpl w:val="639E2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81AE4"/>
    <w:multiLevelType w:val="hybridMultilevel"/>
    <w:tmpl w:val="92BCAC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8725617"/>
    <w:multiLevelType w:val="hybridMultilevel"/>
    <w:tmpl w:val="5F7EE3FA"/>
    <w:lvl w:ilvl="0" w:tplc="F9E8C3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A3257"/>
    <w:multiLevelType w:val="hybridMultilevel"/>
    <w:tmpl w:val="E64EC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10187"/>
    <w:multiLevelType w:val="hybridMultilevel"/>
    <w:tmpl w:val="B1D0EB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C26833"/>
    <w:multiLevelType w:val="hybridMultilevel"/>
    <w:tmpl w:val="86DE87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2248F3"/>
    <w:multiLevelType w:val="hybridMultilevel"/>
    <w:tmpl w:val="904E8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A3738"/>
    <w:multiLevelType w:val="hybridMultilevel"/>
    <w:tmpl w:val="2B66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513"/>
    <w:multiLevelType w:val="hybridMultilevel"/>
    <w:tmpl w:val="E9B43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FE03D1"/>
    <w:multiLevelType w:val="hybridMultilevel"/>
    <w:tmpl w:val="E5521E1A"/>
    <w:lvl w:ilvl="0" w:tplc="4006AA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1287A"/>
    <w:multiLevelType w:val="hybridMultilevel"/>
    <w:tmpl w:val="1CE6EED8"/>
    <w:lvl w:ilvl="0" w:tplc="5396F9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9E156C"/>
    <w:multiLevelType w:val="hybridMultilevel"/>
    <w:tmpl w:val="A20C5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50A4320">
      <w:start w:val="1"/>
      <w:numFmt w:val="decimal"/>
      <w:lvlText w:val="%2)"/>
      <w:lvlJc w:val="left"/>
      <w:pPr>
        <w:ind w:left="1440" w:hanging="360"/>
      </w:pPr>
      <w:rPr>
        <w:rFonts w:ascii="Arial" w:eastAsia="SimSu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F1FAF"/>
    <w:multiLevelType w:val="hybridMultilevel"/>
    <w:tmpl w:val="6B5873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9E82073"/>
    <w:multiLevelType w:val="hybridMultilevel"/>
    <w:tmpl w:val="0922AD96"/>
    <w:lvl w:ilvl="0" w:tplc="B0949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45681B"/>
    <w:multiLevelType w:val="hybridMultilevel"/>
    <w:tmpl w:val="57F0FA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B88751E"/>
    <w:multiLevelType w:val="hybridMultilevel"/>
    <w:tmpl w:val="93629114"/>
    <w:lvl w:ilvl="0" w:tplc="AC68B140">
      <w:start w:val="1"/>
      <w:numFmt w:val="decimal"/>
      <w:lvlText w:val="%1)"/>
      <w:lvlJc w:val="left"/>
      <w:pPr>
        <w:ind w:left="1035" w:hanging="67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B6F60"/>
    <w:multiLevelType w:val="hybridMultilevel"/>
    <w:tmpl w:val="A8148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F453E"/>
    <w:multiLevelType w:val="hybridMultilevel"/>
    <w:tmpl w:val="236C40D0"/>
    <w:lvl w:ilvl="0" w:tplc="72F6A3B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9A97A56"/>
    <w:multiLevelType w:val="hybridMultilevel"/>
    <w:tmpl w:val="2B66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CC23C4"/>
    <w:multiLevelType w:val="hybridMultilevel"/>
    <w:tmpl w:val="A372EEA2"/>
    <w:lvl w:ilvl="0" w:tplc="4D24F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C46508"/>
    <w:multiLevelType w:val="hybridMultilevel"/>
    <w:tmpl w:val="904E8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E65AD3"/>
    <w:multiLevelType w:val="hybridMultilevel"/>
    <w:tmpl w:val="F296EEB6"/>
    <w:lvl w:ilvl="0" w:tplc="711CBF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D16F72"/>
    <w:multiLevelType w:val="hybridMultilevel"/>
    <w:tmpl w:val="05F273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56D43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2B5C12"/>
    <w:multiLevelType w:val="hybridMultilevel"/>
    <w:tmpl w:val="F4F05E52"/>
    <w:lvl w:ilvl="0" w:tplc="9CB41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800A66"/>
    <w:multiLevelType w:val="hybridMultilevel"/>
    <w:tmpl w:val="27DC7D34"/>
    <w:lvl w:ilvl="0" w:tplc="9A3ED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071126E"/>
    <w:multiLevelType w:val="hybridMultilevel"/>
    <w:tmpl w:val="705CF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54D0978"/>
    <w:multiLevelType w:val="hybridMultilevel"/>
    <w:tmpl w:val="F3D86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FE145E"/>
    <w:multiLevelType w:val="hybridMultilevel"/>
    <w:tmpl w:val="2ED4D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F87609"/>
    <w:multiLevelType w:val="hybridMultilevel"/>
    <w:tmpl w:val="7B9473E8"/>
    <w:lvl w:ilvl="0" w:tplc="7960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D814C1"/>
    <w:multiLevelType w:val="hybridMultilevel"/>
    <w:tmpl w:val="DCCC26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BD1588B"/>
    <w:multiLevelType w:val="hybridMultilevel"/>
    <w:tmpl w:val="2CB21C16"/>
    <w:lvl w:ilvl="0" w:tplc="CF6C1238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043F7"/>
    <w:multiLevelType w:val="hybridMultilevel"/>
    <w:tmpl w:val="146CE9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20"/>
  </w:num>
  <w:num w:numId="3">
    <w:abstractNumId w:val="34"/>
  </w:num>
  <w:num w:numId="4">
    <w:abstractNumId w:val="36"/>
  </w:num>
  <w:num w:numId="5">
    <w:abstractNumId w:val="8"/>
  </w:num>
  <w:num w:numId="6">
    <w:abstractNumId w:val="11"/>
  </w:num>
  <w:num w:numId="7">
    <w:abstractNumId w:val="24"/>
  </w:num>
  <w:num w:numId="8">
    <w:abstractNumId w:val="6"/>
  </w:num>
  <w:num w:numId="9">
    <w:abstractNumId w:val="29"/>
  </w:num>
  <w:num w:numId="10">
    <w:abstractNumId w:val="39"/>
  </w:num>
  <w:num w:numId="11">
    <w:abstractNumId w:val="44"/>
  </w:num>
  <w:num w:numId="12">
    <w:abstractNumId w:val="1"/>
  </w:num>
  <w:num w:numId="13">
    <w:abstractNumId w:val="30"/>
  </w:num>
  <w:num w:numId="14">
    <w:abstractNumId w:val="25"/>
  </w:num>
  <w:num w:numId="15">
    <w:abstractNumId w:val="19"/>
  </w:num>
  <w:num w:numId="16">
    <w:abstractNumId w:val="27"/>
  </w:num>
  <w:num w:numId="17">
    <w:abstractNumId w:val="12"/>
  </w:num>
  <w:num w:numId="18">
    <w:abstractNumId w:val="22"/>
  </w:num>
  <w:num w:numId="19">
    <w:abstractNumId w:val="41"/>
  </w:num>
  <w:num w:numId="20">
    <w:abstractNumId w:val="21"/>
  </w:num>
  <w:num w:numId="21">
    <w:abstractNumId w:val="10"/>
  </w:num>
  <w:num w:numId="22">
    <w:abstractNumId w:val="47"/>
  </w:num>
  <w:num w:numId="23">
    <w:abstractNumId w:val="13"/>
  </w:num>
  <w:num w:numId="24">
    <w:abstractNumId w:val="32"/>
  </w:num>
  <w:num w:numId="25">
    <w:abstractNumId w:val="0"/>
  </w:num>
  <w:num w:numId="26">
    <w:abstractNumId w:val="9"/>
  </w:num>
  <w:num w:numId="27">
    <w:abstractNumId w:val="48"/>
  </w:num>
  <w:num w:numId="28">
    <w:abstractNumId w:val="5"/>
  </w:num>
  <w:num w:numId="29">
    <w:abstractNumId w:val="37"/>
  </w:num>
  <w:num w:numId="30">
    <w:abstractNumId w:val="4"/>
  </w:num>
  <w:num w:numId="31">
    <w:abstractNumId w:val="33"/>
  </w:num>
  <w:num w:numId="32">
    <w:abstractNumId w:val="26"/>
  </w:num>
  <w:num w:numId="33">
    <w:abstractNumId w:val="2"/>
  </w:num>
  <w:num w:numId="34">
    <w:abstractNumId w:val="17"/>
  </w:num>
  <w:num w:numId="35">
    <w:abstractNumId w:val="35"/>
  </w:num>
  <w:num w:numId="36">
    <w:abstractNumId w:val="46"/>
  </w:num>
  <w:num w:numId="37">
    <w:abstractNumId w:val="28"/>
  </w:num>
  <w:num w:numId="38">
    <w:abstractNumId w:val="16"/>
  </w:num>
  <w:num w:numId="39">
    <w:abstractNumId w:val="31"/>
  </w:num>
  <w:num w:numId="40">
    <w:abstractNumId w:val="45"/>
  </w:num>
  <w:num w:numId="41">
    <w:abstractNumId w:val="43"/>
  </w:num>
  <w:num w:numId="42">
    <w:abstractNumId w:val="7"/>
  </w:num>
  <w:num w:numId="43">
    <w:abstractNumId w:val="40"/>
  </w:num>
  <w:num w:numId="44">
    <w:abstractNumId w:val="42"/>
  </w:num>
  <w:num w:numId="45">
    <w:abstractNumId w:val="14"/>
  </w:num>
  <w:num w:numId="46">
    <w:abstractNumId w:val="15"/>
  </w:num>
  <w:num w:numId="47">
    <w:abstractNumId w:val="18"/>
  </w:num>
  <w:num w:numId="48">
    <w:abstractNumId w:val="3"/>
  </w:num>
  <w:num w:numId="49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67"/>
    <w:rsid w:val="00003156"/>
    <w:rsid w:val="00006DD7"/>
    <w:rsid w:val="0000743C"/>
    <w:rsid w:val="00021AC7"/>
    <w:rsid w:val="00022963"/>
    <w:rsid w:val="00022C2E"/>
    <w:rsid w:val="00024CBE"/>
    <w:rsid w:val="00074291"/>
    <w:rsid w:val="00092E02"/>
    <w:rsid w:val="000B0E4E"/>
    <w:rsid w:val="000B514F"/>
    <w:rsid w:val="000B5E2C"/>
    <w:rsid w:val="000B6824"/>
    <w:rsid w:val="000B6D88"/>
    <w:rsid w:val="000C76F1"/>
    <w:rsid w:val="000D614B"/>
    <w:rsid w:val="000F3EDF"/>
    <w:rsid w:val="00114768"/>
    <w:rsid w:val="0012001F"/>
    <w:rsid w:val="00143098"/>
    <w:rsid w:val="0016116A"/>
    <w:rsid w:val="001667B2"/>
    <w:rsid w:val="00180BBC"/>
    <w:rsid w:val="001B56CE"/>
    <w:rsid w:val="001D3EC1"/>
    <w:rsid w:val="002076E1"/>
    <w:rsid w:val="00210511"/>
    <w:rsid w:val="00217DF6"/>
    <w:rsid w:val="0023107D"/>
    <w:rsid w:val="00234DB6"/>
    <w:rsid w:val="00240084"/>
    <w:rsid w:val="002506CB"/>
    <w:rsid w:val="00283893"/>
    <w:rsid w:val="00284BFD"/>
    <w:rsid w:val="00284D67"/>
    <w:rsid w:val="00284EB7"/>
    <w:rsid w:val="0029101A"/>
    <w:rsid w:val="002913AC"/>
    <w:rsid w:val="002A6187"/>
    <w:rsid w:val="002B0263"/>
    <w:rsid w:val="002B1398"/>
    <w:rsid w:val="002C14A4"/>
    <w:rsid w:val="002C29D7"/>
    <w:rsid w:val="002E72F6"/>
    <w:rsid w:val="00301DE0"/>
    <w:rsid w:val="00331BED"/>
    <w:rsid w:val="00332C4E"/>
    <w:rsid w:val="00335E57"/>
    <w:rsid w:val="003372B5"/>
    <w:rsid w:val="003409BF"/>
    <w:rsid w:val="003431F4"/>
    <w:rsid w:val="00350465"/>
    <w:rsid w:val="003551D5"/>
    <w:rsid w:val="00384FFB"/>
    <w:rsid w:val="00394A4A"/>
    <w:rsid w:val="003A6297"/>
    <w:rsid w:val="003B1620"/>
    <w:rsid w:val="003B6171"/>
    <w:rsid w:val="003C3FC6"/>
    <w:rsid w:val="003E0125"/>
    <w:rsid w:val="003F0D1C"/>
    <w:rsid w:val="003F1A79"/>
    <w:rsid w:val="003F70A8"/>
    <w:rsid w:val="00411A07"/>
    <w:rsid w:val="00423382"/>
    <w:rsid w:val="00443D38"/>
    <w:rsid w:val="00470268"/>
    <w:rsid w:val="00480F77"/>
    <w:rsid w:val="004964FF"/>
    <w:rsid w:val="004C3C2F"/>
    <w:rsid w:val="004F306E"/>
    <w:rsid w:val="005209DC"/>
    <w:rsid w:val="00522AA1"/>
    <w:rsid w:val="005473C9"/>
    <w:rsid w:val="005771BC"/>
    <w:rsid w:val="00593E42"/>
    <w:rsid w:val="005A19AE"/>
    <w:rsid w:val="005A6F5D"/>
    <w:rsid w:val="005C17F2"/>
    <w:rsid w:val="005C2066"/>
    <w:rsid w:val="005C3F04"/>
    <w:rsid w:val="005E5B17"/>
    <w:rsid w:val="00613DA5"/>
    <w:rsid w:val="006162C4"/>
    <w:rsid w:val="00640EFA"/>
    <w:rsid w:val="00667401"/>
    <w:rsid w:val="00684C2B"/>
    <w:rsid w:val="006A165F"/>
    <w:rsid w:val="006C4D28"/>
    <w:rsid w:val="006D1194"/>
    <w:rsid w:val="006D7385"/>
    <w:rsid w:val="006E0DBC"/>
    <w:rsid w:val="006F540F"/>
    <w:rsid w:val="0070166A"/>
    <w:rsid w:val="00706B75"/>
    <w:rsid w:val="00710E0C"/>
    <w:rsid w:val="00723846"/>
    <w:rsid w:val="00734B62"/>
    <w:rsid w:val="00745409"/>
    <w:rsid w:val="007529F8"/>
    <w:rsid w:val="00752CEB"/>
    <w:rsid w:val="0076709A"/>
    <w:rsid w:val="0077210B"/>
    <w:rsid w:val="00781E7F"/>
    <w:rsid w:val="00782ECE"/>
    <w:rsid w:val="007967AA"/>
    <w:rsid w:val="007A1553"/>
    <w:rsid w:val="007A2DD9"/>
    <w:rsid w:val="007A638C"/>
    <w:rsid w:val="007C48E7"/>
    <w:rsid w:val="007C67A6"/>
    <w:rsid w:val="007D69DB"/>
    <w:rsid w:val="007F3B5F"/>
    <w:rsid w:val="007F4A50"/>
    <w:rsid w:val="00804E61"/>
    <w:rsid w:val="00836796"/>
    <w:rsid w:val="00841F04"/>
    <w:rsid w:val="008570E9"/>
    <w:rsid w:val="008622B2"/>
    <w:rsid w:val="00862701"/>
    <w:rsid w:val="00873FC7"/>
    <w:rsid w:val="008802C6"/>
    <w:rsid w:val="008A2C90"/>
    <w:rsid w:val="008A5E3D"/>
    <w:rsid w:val="008D19D0"/>
    <w:rsid w:val="008E5AC5"/>
    <w:rsid w:val="008F211F"/>
    <w:rsid w:val="00925B0E"/>
    <w:rsid w:val="00933D16"/>
    <w:rsid w:val="00936F0A"/>
    <w:rsid w:val="009373FB"/>
    <w:rsid w:val="0096022A"/>
    <w:rsid w:val="00971D33"/>
    <w:rsid w:val="0097256E"/>
    <w:rsid w:val="00981625"/>
    <w:rsid w:val="00992547"/>
    <w:rsid w:val="0099387D"/>
    <w:rsid w:val="00994272"/>
    <w:rsid w:val="00994BEA"/>
    <w:rsid w:val="009A2DD7"/>
    <w:rsid w:val="009A52F1"/>
    <w:rsid w:val="009A6EA6"/>
    <w:rsid w:val="009B1510"/>
    <w:rsid w:val="009C1C6C"/>
    <w:rsid w:val="009C3257"/>
    <w:rsid w:val="009D5DCD"/>
    <w:rsid w:val="009D5EB2"/>
    <w:rsid w:val="009E06D6"/>
    <w:rsid w:val="00A13CFC"/>
    <w:rsid w:val="00A1741A"/>
    <w:rsid w:val="00A2199D"/>
    <w:rsid w:val="00A23E8E"/>
    <w:rsid w:val="00A4169C"/>
    <w:rsid w:val="00A46897"/>
    <w:rsid w:val="00A52709"/>
    <w:rsid w:val="00A5274C"/>
    <w:rsid w:val="00A5498A"/>
    <w:rsid w:val="00A556F2"/>
    <w:rsid w:val="00A74279"/>
    <w:rsid w:val="00A914AF"/>
    <w:rsid w:val="00A953DD"/>
    <w:rsid w:val="00A9723F"/>
    <w:rsid w:val="00AC71B1"/>
    <w:rsid w:val="00AD0EE6"/>
    <w:rsid w:val="00AE1F6E"/>
    <w:rsid w:val="00AE234D"/>
    <w:rsid w:val="00AE4A8D"/>
    <w:rsid w:val="00B03E30"/>
    <w:rsid w:val="00B175EB"/>
    <w:rsid w:val="00B31D13"/>
    <w:rsid w:val="00B47055"/>
    <w:rsid w:val="00B50B22"/>
    <w:rsid w:val="00B54B5B"/>
    <w:rsid w:val="00B81807"/>
    <w:rsid w:val="00B90767"/>
    <w:rsid w:val="00BA40A8"/>
    <w:rsid w:val="00BB140E"/>
    <w:rsid w:val="00BC37C3"/>
    <w:rsid w:val="00BC44CD"/>
    <w:rsid w:val="00BE3C96"/>
    <w:rsid w:val="00BF1683"/>
    <w:rsid w:val="00C01827"/>
    <w:rsid w:val="00C02DE2"/>
    <w:rsid w:val="00C10B3E"/>
    <w:rsid w:val="00C24712"/>
    <w:rsid w:val="00C32384"/>
    <w:rsid w:val="00C361DF"/>
    <w:rsid w:val="00C40762"/>
    <w:rsid w:val="00C40F69"/>
    <w:rsid w:val="00C471B0"/>
    <w:rsid w:val="00C57A24"/>
    <w:rsid w:val="00C63BAF"/>
    <w:rsid w:val="00C70D68"/>
    <w:rsid w:val="00C720BC"/>
    <w:rsid w:val="00C74498"/>
    <w:rsid w:val="00C92851"/>
    <w:rsid w:val="00CA0E7D"/>
    <w:rsid w:val="00CE51B0"/>
    <w:rsid w:val="00CE55CD"/>
    <w:rsid w:val="00CE6BFB"/>
    <w:rsid w:val="00CF4F8D"/>
    <w:rsid w:val="00CF7A59"/>
    <w:rsid w:val="00D1015C"/>
    <w:rsid w:val="00D14DD1"/>
    <w:rsid w:val="00D31FDE"/>
    <w:rsid w:val="00D32626"/>
    <w:rsid w:val="00D37FC9"/>
    <w:rsid w:val="00D4610C"/>
    <w:rsid w:val="00D464A1"/>
    <w:rsid w:val="00D47469"/>
    <w:rsid w:val="00D93E90"/>
    <w:rsid w:val="00D958D4"/>
    <w:rsid w:val="00DA3565"/>
    <w:rsid w:val="00DC0ED6"/>
    <w:rsid w:val="00DC19A1"/>
    <w:rsid w:val="00DD6775"/>
    <w:rsid w:val="00DE465A"/>
    <w:rsid w:val="00E0175C"/>
    <w:rsid w:val="00E22AFA"/>
    <w:rsid w:val="00E4309A"/>
    <w:rsid w:val="00E43157"/>
    <w:rsid w:val="00E504AB"/>
    <w:rsid w:val="00E5219D"/>
    <w:rsid w:val="00E538E6"/>
    <w:rsid w:val="00E6127E"/>
    <w:rsid w:val="00E673E9"/>
    <w:rsid w:val="00E75667"/>
    <w:rsid w:val="00E75689"/>
    <w:rsid w:val="00E90199"/>
    <w:rsid w:val="00E97B3D"/>
    <w:rsid w:val="00EC3914"/>
    <w:rsid w:val="00EC6824"/>
    <w:rsid w:val="00ED6626"/>
    <w:rsid w:val="00EE7DF7"/>
    <w:rsid w:val="00F01251"/>
    <w:rsid w:val="00F13C9B"/>
    <w:rsid w:val="00F279D8"/>
    <w:rsid w:val="00F517E8"/>
    <w:rsid w:val="00F55090"/>
    <w:rsid w:val="00F57D87"/>
    <w:rsid w:val="00F612D4"/>
    <w:rsid w:val="00F63633"/>
    <w:rsid w:val="00F810B6"/>
    <w:rsid w:val="00F84435"/>
    <w:rsid w:val="00FA13D7"/>
    <w:rsid w:val="00FA6E81"/>
    <w:rsid w:val="00FB28F2"/>
    <w:rsid w:val="00FC3BA7"/>
    <w:rsid w:val="00FC787D"/>
    <w:rsid w:val="00FD2945"/>
    <w:rsid w:val="00FE0785"/>
    <w:rsid w:val="00FF1E96"/>
    <w:rsid w:val="00FF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87DD5"/>
  <w15:docId w15:val="{098633D2-3016-461B-B69F-6EA4712A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76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A3565"/>
    <w:pPr>
      <w:keepNext/>
      <w:outlineLvl w:val="0"/>
    </w:pPr>
    <w:rPr>
      <w:b/>
      <w:bCs/>
      <w:sz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A3565"/>
    <w:pPr>
      <w:keepNext/>
      <w:outlineLvl w:val="3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4F30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6D8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nhideWhenUsed/>
    <w:rsid w:val="00B90767"/>
    <w:pPr>
      <w:jc w:val="both"/>
    </w:pPr>
  </w:style>
  <w:style w:type="character" w:customStyle="1" w:styleId="Tekstpodstawowy3Znak">
    <w:name w:val="Tekst podstawowy 3 Znak"/>
    <w:link w:val="Tekstpodstawowy3"/>
    <w:rsid w:val="00B907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82ECE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A638C"/>
    <w:rPr>
      <w:color w:val="0000FF"/>
      <w:u w:val="single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7A63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45409"/>
    <w:pPr>
      <w:spacing w:after="120"/>
    </w:pPr>
  </w:style>
  <w:style w:type="character" w:customStyle="1" w:styleId="TekstpodstawowyZnak">
    <w:name w:val="Tekst podstawowy Znak"/>
    <w:link w:val="Tekstpodstawowy"/>
    <w:rsid w:val="007454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209DC"/>
    <w:pPr>
      <w:ind w:left="225"/>
    </w:pPr>
  </w:style>
  <w:style w:type="paragraph" w:customStyle="1" w:styleId="khheader">
    <w:name w:val="kh_header"/>
    <w:basedOn w:val="Normalny"/>
    <w:rsid w:val="005209DC"/>
    <w:pPr>
      <w:spacing w:line="420" w:lineRule="atLeast"/>
      <w:ind w:left="225"/>
      <w:jc w:val="center"/>
    </w:pPr>
    <w:rPr>
      <w:sz w:val="28"/>
      <w:szCs w:val="28"/>
    </w:rPr>
  </w:style>
  <w:style w:type="paragraph" w:customStyle="1" w:styleId="khtitle">
    <w:name w:val="kh_title"/>
    <w:basedOn w:val="Normalny"/>
    <w:rsid w:val="005209DC"/>
    <w:pPr>
      <w:spacing w:before="375" w:after="225"/>
    </w:pPr>
    <w:rPr>
      <w:b/>
      <w:bCs/>
      <w:u w:val="single"/>
    </w:rPr>
  </w:style>
  <w:style w:type="paragraph" w:customStyle="1" w:styleId="bold">
    <w:name w:val="bold"/>
    <w:basedOn w:val="Normalny"/>
    <w:rsid w:val="005209DC"/>
    <w:pPr>
      <w:ind w:left="225"/>
    </w:pPr>
    <w:rPr>
      <w:b/>
      <w:bCs/>
    </w:rPr>
  </w:style>
  <w:style w:type="paragraph" w:customStyle="1" w:styleId="justify">
    <w:name w:val="justify"/>
    <w:basedOn w:val="Normalny"/>
    <w:rsid w:val="005209DC"/>
    <w:pPr>
      <w:ind w:left="225"/>
      <w:jc w:val="both"/>
    </w:pPr>
  </w:style>
  <w:style w:type="character" w:customStyle="1" w:styleId="bold1">
    <w:name w:val="bold1"/>
    <w:rsid w:val="005209DC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356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A35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DA356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link w:val="Nagwek4"/>
    <w:semiHidden/>
    <w:rsid w:val="00DA356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FA13D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FA13D7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A4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link w:val="Nagwek7"/>
    <w:uiPriority w:val="9"/>
    <w:semiHidden/>
    <w:rsid w:val="000B6D88"/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DC19A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DC19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C19A1"/>
    <w:pPr>
      <w:jc w:val="center"/>
    </w:pPr>
    <w:rPr>
      <w:b/>
      <w:sz w:val="32"/>
    </w:rPr>
  </w:style>
  <w:style w:type="character" w:customStyle="1" w:styleId="TytuZnak">
    <w:name w:val="Tytuł Znak"/>
    <w:link w:val="Tytu"/>
    <w:rsid w:val="00DC19A1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Nagwek6Znak">
    <w:name w:val="Nagłówek 6 Znak"/>
    <w:link w:val="Nagwek6"/>
    <w:rsid w:val="004F306E"/>
    <w:rPr>
      <w:rFonts w:eastAsia="Times New Roman"/>
      <w:b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8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83893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38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8389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38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8389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F0D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ezodstpwZnak">
    <w:name w:val="Bez odstępów Znak"/>
    <w:link w:val="Bezodstpw"/>
    <w:rsid w:val="005A19AE"/>
    <w:rPr>
      <w:sz w:val="22"/>
      <w:szCs w:val="22"/>
      <w:lang w:eastAsia="en-US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F01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A3C14-1545-4ACB-BCD3-4F3B94901B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1108EF-38EB-478B-9542-68B336AC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2729</Words>
  <Characters>16379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katarzynatrebas</dc:creator>
  <cp:lastModifiedBy>Majdan Marta</cp:lastModifiedBy>
  <cp:revision>5</cp:revision>
  <cp:lastPrinted>2024-12-17T14:08:00Z</cp:lastPrinted>
  <dcterms:created xsi:type="dcterms:W3CDTF">2024-12-17T13:43:00Z</dcterms:created>
  <dcterms:modified xsi:type="dcterms:W3CDTF">2024-12-17T14:09:00Z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226a85c6-c9e6-493c-8765-674abb601321</vt:lpwstr>
  </property>
  <property fmtid="{D5CDD505-2E9C-101B-9397-08002B2CF9AE}" pid="3" name="bjSaver">
    <vt:lpwstr>9oAZFsGehtJy6rvHLhKQmk31Z1zTn2x2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katarzynatrebas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10.90.81.187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